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E9" w:rsidRDefault="00A20AE9" w:rsidP="00A20AE9">
      <w:pPr>
        <w:rPr>
          <w:b/>
          <w:color w:val="5B9BD5" w:themeColor="accent1"/>
        </w:rPr>
      </w:pPr>
      <w:r>
        <w:rPr>
          <w:noProof/>
          <w:lang w:eastAsia="fr-FR"/>
        </w:rPr>
        <mc:AlternateContent>
          <mc:Choice Requires="wps">
            <w:drawing>
              <wp:anchor distT="0" distB="0" distL="114300" distR="114300" simplePos="0" relativeHeight="251659264" behindDoc="0" locked="0" layoutInCell="1" allowOverlap="1" wp14:anchorId="1FF167C5" wp14:editId="0B26C40A">
                <wp:simplePos x="0" y="0"/>
                <wp:positionH relativeFrom="column">
                  <wp:posOffset>0</wp:posOffset>
                </wp:positionH>
                <wp:positionV relativeFrom="paragraph">
                  <wp:posOffset>0</wp:posOffset>
                </wp:positionV>
                <wp:extent cx="5579745" cy="285750"/>
                <wp:effectExtent l="635" t="0" r="127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AE9" w:rsidRPr="003B4E51" w:rsidRDefault="00A20AE9" w:rsidP="00A20AE9">
                            <w:pPr>
                              <w:pStyle w:val="Paragraphedeliste"/>
                              <w:ind w:left="1080"/>
                              <w:rPr>
                                <w:b/>
                                <w:smallCaps/>
                                <w:color w:val="000000" w:themeColor="text1"/>
                                <w:sz w:val="32"/>
                                <w:szCs w:val="32"/>
                              </w:rPr>
                            </w:pPr>
                            <w:r w:rsidRPr="003B4E51">
                              <w:rPr>
                                <w:b/>
                                <w:smallCaps/>
                                <w:color w:val="000000" w:themeColor="text1"/>
                                <w:sz w:val="32"/>
                                <w:szCs w:val="32"/>
                              </w:rPr>
                              <w:t>Les aidants : une situation, des besoins, des attentes</w:t>
                            </w:r>
                          </w:p>
                          <w:p w:rsidR="00A20AE9" w:rsidRPr="00715B69" w:rsidRDefault="00A20AE9" w:rsidP="00A20AE9">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167C5" id="_x0000_t202" coordsize="21600,21600" o:spt="202" path="m,l,21600r21600,l21600,xe">
                <v:stroke joinstyle="miter"/>
                <v:path gradientshapeok="t" o:connecttype="rect"/>
              </v:shapetype>
              <v:shape id="Text Box 19" o:spid="_x0000_s1026" type="#_x0000_t202" style="position:absolute;left:0;text-align:left;margin-left:0;margin-top:0;width:439.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BVuA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" filled="f" stroked="f">
                <v:textbox>
                  <w:txbxContent>
                    <w:p w:rsidR="00A20AE9" w:rsidRPr="003B4E51" w:rsidRDefault="00A20AE9" w:rsidP="00A20AE9">
                      <w:pPr>
                        <w:pStyle w:val="Paragraphedeliste"/>
                        <w:ind w:left="1080"/>
                        <w:rPr>
                          <w:b/>
                          <w:smallCaps/>
                          <w:color w:val="000000" w:themeColor="text1"/>
                          <w:sz w:val="32"/>
                          <w:szCs w:val="32"/>
                        </w:rPr>
                      </w:pPr>
                      <w:r w:rsidRPr="003B4E51">
                        <w:rPr>
                          <w:b/>
                          <w:smallCaps/>
                          <w:color w:val="000000" w:themeColor="text1"/>
                          <w:sz w:val="32"/>
                          <w:szCs w:val="32"/>
                        </w:rPr>
                        <w:t>Les aidants : une situation, des besoins, des attentes</w:t>
                      </w:r>
                    </w:p>
                    <w:p w:rsidR="00A20AE9" w:rsidRPr="00715B69" w:rsidRDefault="00A20AE9" w:rsidP="00A20AE9">
                      <w:pPr>
                        <w:rPr>
                          <w:sz w:val="28"/>
                          <w:szCs w:val="28"/>
                        </w:rPr>
                      </w:pPr>
                    </w:p>
                  </w:txbxContent>
                </v:textbox>
              </v:shape>
            </w:pict>
          </mc:Fallback>
        </mc:AlternateContent>
      </w:r>
    </w:p>
    <w:p w:rsidR="00A20AE9" w:rsidRDefault="00A20AE9" w:rsidP="00A20AE9">
      <w:pPr>
        <w:rPr>
          <w:b/>
          <w:color w:val="5B9BD5" w:themeColor="accent1"/>
        </w:rPr>
      </w:pPr>
    </w:p>
    <w:p w:rsidR="00A20AE9" w:rsidRDefault="00A20AE9" w:rsidP="00A20AE9">
      <w:pPr>
        <w:rPr>
          <w:b/>
          <w:color w:val="5B9BD5" w:themeColor="accent1"/>
        </w:rPr>
      </w:pPr>
    </w:p>
    <w:p w:rsidR="00A20AE9" w:rsidRPr="00A20AE9" w:rsidRDefault="00A20AE9" w:rsidP="00A20AE9">
      <w:pPr>
        <w:pStyle w:val="Paragraphedeliste"/>
        <w:numPr>
          <w:ilvl w:val="0"/>
          <w:numId w:val="2"/>
        </w:numPr>
        <w:tabs>
          <w:tab w:val="left" w:pos="3585"/>
        </w:tabs>
        <w:rPr>
          <w:b/>
          <w:color w:val="5B9BD5" w:themeColor="accent1"/>
        </w:rPr>
      </w:pPr>
      <w:r w:rsidRPr="00A20AE9">
        <w:rPr>
          <w:b/>
          <w:color w:val="5B9BD5" w:themeColor="accent1"/>
        </w:rPr>
        <w:t>Tous concernés</w:t>
      </w:r>
    </w:p>
    <w:p w:rsidR="00A20AE9" w:rsidRPr="00CB1D52" w:rsidRDefault="00A20AE9" w:rsidP="00A20AE9">
      <w:pPr>
        <w:tabs>
          <w:tab w:val="left" w:pos="3585"/>
        </w:tabs>
        <w:rPr>
          <w:b/>
          <w:color w:val="5B9BD5" w:themeColor="accent1"/>
        </w:rPr>
      </w:pPr>
    </w:p>
    <w:p w:rsidR="00A20AE9" w:rsidRPr="00CB1D52" w:rsidRDefault="00A20AE9" w:rsidP="00A20AE9">
      <w:pPr>
        <w:tabs>
          <w:tab w:val="left" w:pos="3585"/>
        </w:tabs>
      </w:pPr>
      <w:r w:rsidRPr="00CB1D52">
        <w:t xml:space="preserve">Chacun dans notre vie, nous avons, nous sommes ou serons amenés à accompagner un proche en difficulté du fait d’une maladie ou d’un handicap, de la petite enfance au grand âge. En France, cela concerne </w:t>
      </w:r>
      <w:r>
        <w:t>8.3</w:t>
      </w:r>
      <w:r w:rsidRPr="00CB1D52">
        <w:t xml:space="preserve"> millions de personnes.</w:t>
      </w:r>
    </w:p>
    <w:p w:rsidR="00A20AE9" w:rsidRPr="00CB1D52" w:rsidRDefault="00A20AE9" w:rsidP="00A20AE9">
      <w:pPr>
        <w:rPr>
          <w:rFonts w:eastAsia="Calibri" w:cs="Calibri"/>
          <w:szCs w:val="20"/>
        </w:rPr>
      </w:pPr>
    </w:p>
    <w:p w:rsidR="00A20AE9" w:rsidRPr="00CB1D52" w:rsidRDefault="00A20AE9" w:rsidP="00A20AE9">
      <w:pPr>
        <w:rPr>
          <w:rFonts w:eastAsia="Calibri" w:cs="Calibri"/>
          <w:szCs w:val="20"/>
        </w:rPr>
      </w:pPr>
      <w:r w:rsidRPr="00CB1D52">
        <w:rPr>
          <w:rFonts w:eastAsia="Calibri" w:cs="Calibri"/>
          <w:szCs w:val="20"/>
        </w:rPr>
        <w:t>Beaucoup de termes sont ainsi utilisés pour désigner ces aidants</w:t>
      </w:r>
      <w:r w:rsidRPr="00CB1D52">
        <w:rPr>
          <w:rFonts w:cs="Calibri"/>
          <w:szCs w:val="20"/>
        </w:rPr>
        <w:t xml:space="preserve"> (naturels, familiaux, informels)</w:t>
      </w:r>
      <w:r w:rsidRPr="00CB1D52">
        <w:rPr>
          <w:rFonts w:eastAsia="Calibri" w:cs="Calibri"/>
          <w:szCs w:val="20"/>
        </w:rPr>
        <w:t xml:space="preserve"> qui accompagnent quotidiennement un membre de leur entourage. Chacun découvrant un jour qu’il est justement</w:t>
      </w:r>
      <w:r w:rsidRPr="00CB1D52">
        <w:rPr>
          <w:rFonts w:cs="Calibri"/>
          <w:szCs w:val="20"/>
        </w:rPr>
        <w:t xml:space="preserve"> « aidant ».</w:t>
      </w:r>
    </w:p>
    <w:p w:rsidR="00A20AE9" w:rsidRPr="00CB1D52" w:rsidRDefault="00A20AE9" w:rsidP="00A20AE9">
      <w:pPr>
        <w:rPr>
          <w:rFonts w:eastAsia="Calibri" w:cs="Calibri"/>
          <w:b/>
          <w:szCs w:val="20"/>
        </w:rPr>
      </w:pPr>
    </w:p>
    <w:p w:rsidR="00A20AE9" w:rsidRPr="00CB1D52" w:rsidRDefault="00A20AE9" w:rsidP="00A20AE9">
      <w:pPr>
        <w:rPr>
          <w:rFonts w:eastAsia="Calibri" w:cs="Calibri"/>
          <w:szCs w:val="20"/>
        </w:rPr>
      </w:pPr>
      <w:r w:rsidRPr="00CB1D52">
        <w:rPr>
          <w:rFonts w:cs="Calibri"/>
          <w:szCs w:val="20"/>
        </w:rPr>
        <w:t>La</w:t>
      </w:r>
      <w:r w:rsidRPr="00CB1D52">
        <w:rPr>
          <w:rFonts w:eastAsia="Calibri" w:cs="Calibri"/>
          <w:szCs w:val="20"/>
        </w:rPr>
        <w:t xml:space="preserve"> Confédération des Organisations de Familles de l’Union Européenne (COFACE) </w:t>
      </w:r>
      <w:r w:rsidRPr="00CB1D52">
        <w:rPr>
          <w:rFonts w:cs="Calibri"/>
          <w:szCs w:val="20"/>
        </w:rPr>
        <w:t xml:space="preserve">définit l’aidant familial </w:t>
      </w:r>
      <w:r w:rsidRPr="00CB1D52">
        <w:rPr>
          <w:rFonts w:eastAsia="Calibri" w:cs="Calibri"/>
          <w:szCs w:val="20"/>
        </w:rPr>
        <w:t>dans sa charte européenne</w:t>
      </w:r>
      <w:r w:rsidRPr="00CB1D52">
        <w:rPr>
          <w:rFonts w:cs="Calibri"/>
          <w:szCs w:val="20"/>
        </w:rPr>
        <w:t xml:space="preserve"> </w:t>
      </w:r>
      <w:r w:rsidRPr="00CB1D52">
        <w:rPr>
          <w:rFonts w:eastAsia="Calibri" w:cs="Calibri"/>
          <w:szCs w:val="20"/>
        </w:rPr>
        <w:t>: « </w:t>
      </w:r>
      <w:r w:rsidRPr="00213ED3">
        <w:rPr>
          <w:rFonts w:eastAsia="Calibri" w:cs="Calibri"/>
          <w:i/>
          <w:szCs w:val="20"/>
        </w:rPr>
        <w:t>l’aidant familial est la personne non professionnelle qui vient en aide à titre principal, pour partie ou totalement, à une personne dépendante de son entourage, pour les activités de la vie quotidienne. Cette aide régulière peut être prodiguée de façon permanente ou non et peut prendre plusieurs formes, notamment : nursing, soins, accompagnement à l’éducation et à la vie sociale, démarches administratives, coordination, vigilance permanente, soutien psychologique, communication, activités domestiques, …</w:t>
      </w:r>
      <w:r w:rsidRPr="00CB1D52">
        <w:rPr>
          <w:rFonts w:eastAsia="Calibri" w:cs="Calibri"/>
          <w:szCs w:val="20"/>
        </w:rPr>
        <w:t xml:space="preserve"> ».</w:t>
      </w:r>
    </w:p>
    <w:p w:rsidR="00A20AE9" w:rsidRPr="00CB1D52" w:rsidRDefault="00A20AE9" w:rsidP="00A20AE9">
      <w:pPr>
        <w:rPr>
          <w:rFonts w:eastAsia="Calibri" w:cs="Calibri"/>
          <w:szCs w:val="20"/>
        </w:rPr>
      </w:pPr>
    </w:p>
    <w:p w:rsidR="00A20AE9" w:rsidRPr="00CB1D52" w:rsidRDefault="00A20AE9" w:rsidP="00A20AE9">
      <w:pPr>
        <w:pStyle w:val="Paragraphedeliste"/>
        <w:numPr>
          <w:ilvl w:val="0"/>
          <w:numId w:val="2"/>
        </w:numPr>
        <w:rPr>
          <w:rFonts w:eastAsia="Calibri" w:cs="Calibri"/>
          <w:b/>
          <w:color w:val="5B9BD5" w:themeColor="accent1"/>
          <w:szCs w:val="20"/>
        </w:rPr>
      </w:pPr>
      <w:r w:rsidRPr="00CB1D52">
        <w:rPr>
          <w:rFonts w:cs="Calibri"/>
          <w:b/>
          <w:color w:val="5B9BD5" w:themeColor="accent1"/>
          <w:szCs w:val="20"/>
        </w:rPr>
        <w:t>Quelques chiffres…</w:t>
      </w:r>
    </w:p>
    <w:p w:rsidR="00A20AE9" w:rsidRPr="00CB1D52" w:rsidRDefault="00A20AE9" w:rsidP="00A20AE9">
      <w:pPr>
        <w:rPr>
          <w:rFonts w:eastAsia="Calibri" w:cs="Calibri"/>
          <w:b/>
          <w:szCs w:val="20"/>
        </w:rPr>
      </w:pPr>
    </w:p>
    <w:p w:rsidR="00A20AE9" w:rsidRPr="00CB1D52" w:rsidRDefault="00A20AE9" w:rsidP="00A20AE9">
      <w:pPr>
        <w:rPr>
          <w:rFonts w:eastAsia="Calibri" w:cs="Calibri"/>
          <w:szCs w:val="20"/>
        </w:rPr>
      </w:pPr>
      <w:r w:rsidRPr="00CB1D52">
        <w:rPr>
          <w:rFonts w:eastAsia="Calibri" w:cs="Calibri"/>
          <w:szCs w:val="20"/>
        </w:rPr>
        <w:t>Nombre de statistiques et d’études quantitatives nous permettent de savoir qui sont ces aidants : en moyenne, les aidants ont 58 ans, 47% mènent une activité professionnelle, 60% sont des femmes, etc. Ces études mettent également en lumière l’importante mise à contribution des aidants : dans certains cas de dépendance les plus lourdes, l’aide est exclusivement apportée par les aidants proches. De même, l’aide apportée par les aidants est toujours plus importante que celle apportée par les professionnels.</w:t>
      </w:r>
    </w:p>
    <w:p w:rsidR="00A20AE9" w:rsidRPr="00CB1D52" w:rsidRDefault="00A20AE9" w:rsidP="00A20AE9">
      <w:pPr>
        <w:rPr>
          <w:rFonts w:eastAsia="Calibri" w:cs="Calibri"/>
          <w:color w:val="FFFFFF" w:themeColor="background1"/>
          <w:szCs w:val="20"/>
        </w:rPr>
      </w:pPr>
    </w:p>
    <w:p w:rsidR="00A20AE9" w:rsidRPr="00CB1D52" w:rsidRDefault="00A20AE9" w:rsidP="00A20AE9">
      <w:pPr>
        <w:pStyle w:val="Paragraphedeliste"/>
        <w:numPr>
          <w:ilvl w:val="0"/>
          <w:numId w:val="2"/>
        </w:numPr>
        <w:rPr>
          <w:rFonts w:eastAsia="Calibri" w:cs="Calibri"/>
          <w:b/>
          <w:color w:val="5B9BD5" w:themeColor="accent1"/>
          <w:szCs w:val="20"/>
        </w:rPr>
      </w:pPr>
      <w:r w:rsidRPr="00CB1D52">
        <w:rPr>
          <w:rFonts w:cs="Calibri"/>
          <w:b/>
          <w:color w:val="5B9BD5" w:themeColor="accent1"/>
          <w:szCs w:val="20"/>
        </w:rPr>
        <w:t>Une question d’ordre privé et sociétal</w:t>
      </w:r>
    </w:p>
    <w:p w:rsidR="00A20AE9" w:rsidRPr="00CB1D52" w:rsidRDefault="00A20AE9" w:rsidP="00A20AE9">
      <w:pPr>
        <w:rPr>
          <w:rFonts w:eastAsia="Calibri" w:cs="Calibri"/>
          <w:b/>
          <w:szCs w:val="20"/>
          <w:u w:val="single"/>
        </w:rPr>
      </w:pPr>
    </w:p>
    <w:p w:rsidR="00A20AE9" w:rsidRPr="00CB1D52" w:rsidRDefault="00A20AE9" w:rsidP="00A20AE9">
      <w:pPr>
        <w:rPr>
          <w:rFonts w:eastAsia="Calibri" w:cs="Calibri"/>
          <w:szCs w:val="20"/>
        </w:rPr>
      </w:pPr>
      <w:r w:rsidRPr="00CB1D52">
        <w:rPr>
          <w:rFonts w:eastAsia="Calibri" w:cs="Calibri"/>
          <w:szCs w:val="20"/>
        </w:rPr>
        <w:t>Traiter de la question des aidants, c’est entrer dans les intérieurs et regarder ce qui se joue dans la relation à l’autre dès lors que la maladie ou le handicap survient.</w:t>
      </w:r>
    </w:p>
    <w:p w:rsidR="00A20AE9" w:rsidRPr="00CB1D52" w:rsidRDefault="00A20AE9" w:rsidP="00A20AE9">
      <w:pPr>
        <w:rPr>
          <w:rFonts w:eastAsia="Calibri" w:cs="Calibri"/>
          <w:szCs w:val="20"/>
        </w:rPr>
      </w:pPr>
    </w:p>
    <w:p w:rsidR="00A20AE9" w:rsidRPr="00CB1D52" w:rsidRDefault="00A20AE9" w:rsidP="00A20AE9">
      <w:pPr>
        <w:rPr>
          <w:rFonts w:eastAsia="Calibri" w:cs="Calibri"/>
          <w:szCs w:val="20"/>
        </w:rPr>
      </w:pPr>
      <w:r w:rsidRPr="00CB1D52">
        <w:rPr>
          <w:rFonts w:eastAsia="Calibri" w:cs="Calibri"/>
          <w:szCs w:val="20"/>
        </w:rPr>
        <w:t>Le lien à la personne, l’attachement sont des aspects fondamentaux de la relation d’aide. Pour autant, dans la relation d’aide et de soin, la confusion des genres amène à des souffrances, lorsque l’on devient l’aide-soignant, l’infirmier de son proche. D’où cette nécessité de conserver le lien initial à son proche mais également le lien initial à la société en restant un travailleur, un militant, un citoyen.</w:t>
      </w:r>
    </w:p>
    <w:p w:rsidR="00A20AE9" w:rsidRPr="00CB1D52" w:rsidRDefault="00A20AE9" w:rsidP="00A20AE9">
      <w:pPr>
        <w:rPr>
          <w:rFonts w:eastAsia="Calibri" w:cs="Calibri"/>
          <w:szCs w:val="20"/>
        </w:rPr>
      </w:pPr>
    </w:p>
    <w:p w:rsidR="00A20AE9" w:rsidRPr="00CB1D52" w:rsidRDefault="00A20AE9" w:rsidP="00A20AE9">
      <w:pPr>
        <w:rPr>
          <w:rFonts w:eastAsia="Calibri" w:cs="Calibri"/>
          <w:szCs w:val="20"/>
        </w:rPr>
      </w:pPr>
      <w:r w:rsidRPr="00CB1D52">
        <w:rPr>
          <w:rFonts w:eastAsia="Calibri" w:cs="Calibri"/>
          <w:szCs w:val="20"/>
        </w:rPr>
        <w:t xml:space="preserve">Parallèlement, on a affaire à une vision négative du rôle d’aidant, avec un champ sémantique lourd de sens : culpabilité, fardeau, charge, répit, tels sont les termes usités. </w:t>
      </w:r>
    </w:p>
    <w:p w:rsidR="00A20AE9" w:rsidRPr="00CB1D52" w:rsidRDefault="00A20AE9" w:rsidP="00A20AE9">
      <w:pPr>
        <w:rPr>
          <w:rFonts w:eastAsia="Calibri" w:cs="Calibri"/>
          <w:b/>
          <w:szCs w:val="20"/>
        </w:rPr>
      </w:pPr>
    </w:p>
    <w:p w:rsidR="00A20AE9" w:rsidRPr="00CB1D52" w:rsidRDefault="00A20AE9" w:rsidP="00A20AE9">
      <w:pPr>
        <w:rPr>
          <w:rFonts w:eastAsia="Calibri" w:cs="Calibri"/>
          <w:szCs w:val="20"/>
        </w:rPr>
      </w:pPr>
      <w:r w:rsidRPr="00CB1D52">
        <w:rPr>
          <w:rFonts w:cs="Calibri"/>
          <w:szCs w:val="20"/>
        </w:rPr>
        <w:t>Néanmoins, p</w:t>
      </w:r>
      <w:r w:rsidRPr="00CB1D52">
        <w:rPr>
          <w:rFonts w:eastAsia="Calibri" w:cs="Calibri"/>
          <w:szCs w:val="20"/>
        </w:rPr>
        <w:t xml:space="preserve">uisque cela concerne </w:t>
      </w:r>
      <w:r>
        <w:rPr>
          <w:rFonts w:eastAsia="Calibri" w:cs="Calibri"/>
          <w:szCs w:val="20"/>
        </w:rPr>
        <w:t>8,3</w:t>
      </w:r>
      <w:r w:rsidRPr="00CB1D52">
        <w:rPr>
          <w:rFonts w:eastAsia="Calibri" w:cs="Calibri"/>
          <w:szCs w:val="20"/>
        </w:rPr>
        <w:t xml:space="preserve"> millions de personnes et que chacun a été, est ou sera aidant, la question de l’aide apportée à un proche comporte plusieurs dimensions so</w:t>
      </w:r>
      <w:r w:rsidRPr="00CB1D52">
        <w:rPr>
          <w:rFonts w:cs="Calibri"/>
          <w:szCs w:val="20"/>
        </w:rPr>
        <w:t xml:space="preserve">ciales : </w:t>
      </w:r>
    </w:p>
    <w:p w:rsidR="00A20AE9" w:rsidRPr="00CB1D52" w:rsidRDefault="00A20AE9" w:rsidP="00A20AE9">
      <w:pPr>
        <w:rPr>
          <w:rFonts w:eastAsia="Calibri" w:cs="Calibri"/>
          <w:szCs w:val="20"/>
        </w:rPr>
      </w:pPr>
    </w:p>
    <w:p w:rsidR="00A20AE9" w:rsidRPr="00CB1D52" w:rsidRDefault="00A20AE9" w:rsidP="00A20AE9">
      <w:pPr>
        <w:numPr>
          <w:ilvl w:val="0"/>
          <w:numId w:val="1"/>
        </w:numPr>
        <w:rPr>
          <w:rFonts w:eastAsia="Calibri" w:cs="Calibri"/>
          <w:szCs w:val="20"/>
        </w:rPr>
      </w:pPr>
      <w:r w:rsidRPr="00CB1D52">
        <w:rPr>
          <w:rFonts w:eastAsia="Calibri" w:cs="Calibri"/>
          <w:szCs w:val="20"/>
        </w:rPr>
        <w:t>Du point de vue de la santé, où, très souvent, les aidants négligent leur santé ; l’on observe un taux de morbidité supérieur chez les aidants que dans la moyenne nationale.</w:t>
      </w:r>
    </w:p>
    <w:p w:rsidR="00A20AE9" w:rsidRPr="00CB1D52" w:rsidRDefault="00A20AE9" w:rsidP="00A20AE9">
      <w:pPr>
        <w:numPr>
          <w:ilvl w:val="0"/>
          <w:numId w:val="1"/>
        </w:numPr>
        <w:rPr>
          <w:rFonts w:eastAsia="Calibri" w:cs="Calibri"/>
          <w:szCs w:val="20"/>
        </w:rPr>
      </w:pPr>
      <w:r w:rsidRPr="00CB1D52">
        <w:rPr>
          <w:rFonts w:eastAsia="Calibri" w:cs="Calibri"/>
          <w:szCs w:val="20"/>
        </w:rPr>
        <w:t>Du point de vue économique, où la mise à contribution des aidants représenterait l’équivalent de 500 000 ETP.</w:t>
      </w:r>
    </w:p>
    <w:p w:rsidR="00A20AE9" w:rsidRPr="00CB1D52" w:rsidRDefault="00A20AE9" w:rsidP="00A20AE9">
      <w:pPr>
        <w:numPr>
          <w:ilvl w:val="0"/>
          <w:numId w:val="1"/>
        </w:numPr>
        <w:rPr>
          <w:rFonts w:eastAsia="Calibri" w:cs="Calibri"/>
          <w:szCs w:val="20"/>
        </w:rPr>
      </w:pPr>
      <w:r w:rsidRPr="00CB1D52">
        <w:rPr>
          <w:rFonts w:eastAsia="Calibri" w:cs="Calibri"/>
          <w:szCs w:val="20"/>
        </w:rPr>
        <w:t>Du point de vue social, avec les dispositifs mis en place, tels que les congés familiaux ou encore la possibilité de rétribuer un proche via l’APA ou la PCH.</w:t>
      </w:r>
    </w:p>
    <w:p w:rsidR="00A20AE9" w:rsidRPr="00CB1D52" w:rsidRDefault="00A20AE9" w:rsidP="00A20AE9">
      <w:pPr>
        <w:numPr>
          <w:ilvl w:val="0"/>
          <w:numId w:val="1"/>
        </w:numPr>
        <w:rPr>
          <w:rFonts w:eastAsia="Calibri" w:cs="Calibri"/>
          <w:szCs w:val="20"/>
        </w:rPr>
      </w:pPr>
      <w:r>
        <w:rPr>
          <w:rFonts w:eastAsia="Calibri" w:cs="Calibri"/>
          <w:szCs w:val="20"/>
        </w:rPr>
        <w:lastRenderedPageBreak/>
        <w:t>Du point de</w:t>
      </w:r>
      <w:r w:rsidRPr="00CB1D52">
        <w:rPr>
          <w:rFonts w:eastAsia="Calibri" w:cs="Calibri"/>
          <w:szCs w:val="20"/>
        </w:rPr>
        <w:t xml:space="preserve"> vue du genre</w:t>
      </w:r>
      <w:r>
        <w:rPr>
          <w:rFonts w:eastAsia="Calibri" w:cs="Calibri"/>
          <w:szCs w:val="20"/>
        </w:rPr>
        <w:t xml:space="preserve"> et de l’âge</w:t>
      </w:r>
    </w:p>
    <w:p w:rsidR="00A20AE9" w:rsidRPr="00CB1D52" w:rsidRDefault="00A20AE9" w:rsidP="00A20AE9">
      <w:pPr>
        <w:numPr>
          <w:ilvl w:val="0"/>
          <w:numId w:val="1"/>
        </w:numPr>
        <w:rPr>
          <w:rFonts w:eastAsia="Calibri" w:cs="Calibri"/>
          <w:szCs w:val="20"/>
        </w:rPr>
      </w:pPr>
      <w:r w:rsidRPr="00CB1D52">
        <w:rPr>
          <w:rFonts w:eastAsia="Calibri" w:cs="Calibri"/>
          <w:szCs w:val="20"/>
        </w:rPr>
        <w:t>Du point de vue de la conciliation vie d’aidant/vie professionnelle</w:t>
      </w:r>
    </w:p>
    <w:p w:rsidR="00A20AE9" w:rsidRPr="00CB1D52" w:rsidRDefault="00A20AE9" w:rsidP="00A20AE9">
      <w:pPr>
        <w:rPr>
          <w:rFonts w:eastAsia="Calibri" w:cs="Calibri"/>
          <w:szCs w:val="20"/>
        </w:rPr>
      </w:pPr>
    </w:p>
    <w:p w:rsidR="00A20AE9" w:rsidRPr="00CB1D52" w:rsidRDefault="00A20AE9" w:rsidP="00A20AE9">
      <w:pPr>
        <w:pStyle w:val="Paragraphedeliste"/>
        <w:numPr>
          <w:ilvl w:val="0"/>
          <w:numId w:val="2"/>
        </w:numPr>
        <w:rPr>
          <w:rFonts w:eastAsia="Calibri" w:cs="Calibri"/>
          <w:b/>
          <w:color w:val="5B9BD5" w:themeColor="accent1"/>
          <w:szCs w:val="20"/>
        </w:rPr>
      </w:pPr>
      <w:r w:rsidRPr="00CB1D52">
        <w:rPr>
          <w:rFonts w:eastAsia="Calibri" w:cs="Calibri"/>
          <w:b/>
          <w:color w:val="5B9BD5" w:themeColor="accent1"/>
          <w:szCs w:val="20"/>
        </w:rPr>
        <w:t>Le soutien aux aidants proches</w:t>
      </w:r>
    </w:p>
    <w:p w:rsidR="00A20AE9" w:rsidRPr="00CB1D52" w:rsidRDefault="00A20AE9" w:rsidP="00A20AE9">
      <w:pPr>
        <w:rPr>
          <w:rFonts w:eastAsia="Calibri" w:cs="Calibri"/>
          <w:szCs w:val="20"/>
        </w:rPr>
      </w:pPr>
    </w:p>
    <w:p w:rsidR="00A20AE9" w:rsidRPr="00CB1D52" w:rsidRDefault="00A20AE9" w:rsidP="00A20AE9">
      <w:pPr>
        <w:rPr>
          <w:rFonts w:eastAsia="Calibri" w:cs="Calibri"/>
          <w:szCs w:val="20"/>
        </w:rPr>
      </w:pPr>
      <w:r w:rsidRPr="00CB1D52">
        <w:rPr>
          <w:rFonts w:eastAsia="Calibri" w:cs="Calibri"/>
          <w:szCs w:val="20"/>
        </w:rPr>
        <w:t>Différents types de réponses peuvent être apporté aux besoins des aidants :</w:t>
      </w:r>
    </w:p>
    <w:p w:rsidR="00A20AE9" w:rsidRPr="00CB1D52" w:rsidRDefault="00A20AE9" w:rsidP="00A20AE9">
      <w:pPr>
        <w:numPr>
          <w:ilvl w:val="0"/>
          <w:numId w:val="1"/>
        </w:numPr>
        <w:rPr>
          <w:rFonts w:eastAsia="Calibri" w:cs="Calibri"/>
          <w:szCs w:val="20"/>
        </w:rPr>
      </w:pPr>
      <w:r w:rsidRPr="00CB1D52">
        <w:rPr>
          <w:rFonts w:eastAsia="Calibri" w:cs="Calibri"/>
          <w:szCs w:val="20"/>
        </w:rPr>
        <w:t>L’information (sur les aides financières, les aides humaines, l’aménagement du logement, les droits, les curatelles/tutelles, etc.)</w:t>
      </w:r>
    </w:p>
    <w:p w:rsidR="00A20AE9" w:rsidRPr="00CB1D52" w:rsidRDefault="00A20AE9" w:rsidP="00A20AE9">
      <w:pPr>
        <w:numPr>
          <w:ilvl w:val="0"/>
          <w:numId w:val="1"/>
        </w:numPr>
        <w:rPr>
          <w:rFonts w:eastAsia="Calibri" w:cs="Calibri"/>
          <w:szCs w:val="20"/>
        </w:rPr>
      </w:pPr>
      <w:r w:rsidRPr="00CB1D52">
        <w:rPr>
          <w:rFonts w:eastAsia="Calibri" w:cs="Calibri"/>
          <w:szCs w:val="20"/>
        </w:rPr>
        <w:t>La formation</w:t>
      </w:r>
    </w:p>
    <w:p w:rsidR="00A20AE9" w:rsidRPr="00CB1D52" w:rsidRDefault="00A20AE9" w:rsidP="00A20AE9">
      <w:pPr>
        <w:numPr>
          <w:ilvl w:val="0"/>
          <w:numId w:val="1"/>
        </w:numPr>
        <w:rPr>
          <w:rFonts w:eastAsia="Calibri" w:cs="Calibri"/>
          <w:szCs w:val="20"/>
        </w:rPr>
      </w:pPr>
      <w:r w:rsidRPr="00CB1D52">
        <w:rPr>
          <w:rFonts w:eastAsia="Calibri" w:cs="Calibri"/>
          <w:szCs w:val="20"/>
        </w:rPr>
        <w:t>Le répit (accueil de jour, hébergement temporaire, vacances)</w:t>
      </w:r>
    </w:p>
    <w:p w:rsidR="00A20AE9" w:rsidRPr="00CB1D52" w:rsidRDefault="00A20AE9" w:rsidP="00A20AE9">
      <w:pPr>
        <w:numPr>
          <w:ilvl w:val="0"/>
          <w:numId w:val="1"/>
        </w:numPr>
        <w:rPr>
          <w:rFonts w:eastAsia="Calibri" w:cs="Calibri"/>
          <w:szCs w:val="20"/>
        </w:rPr>
      </w:pPr>
      <w:r w:rsidRPr="00CB1D52">
        <w:rPr>
          <w:rFonts w:eastAsia="Calibri" w:cs="Calibri"/>
          <w:szCs w:val="20"/>
        </w:rPr>
        <w:t>Le maintien en santé</w:t>
      </w:r>
    </w:p>
    <w:p w:rsidR="00A20AE9" w:rsidRPr="00CB1D52" w:rsidRDefault="00A20AE9" w:rsidP="00A20AE9">
      <w:pPr>
        <w:numPr>
          <w:ilvl w:val="0"/>
          <w:numId w:val="1"/>
        </w:numPr>
        <w:rPr>
          <w:rFonts w:eastAsia="Calibri" w:cs="Calibri"/>
          <w:szCs w:val="20"/>
        </w:rPr>
      </w:pPr>
      <w:r w:rsidRPr="00CB1D52">
        <w:rPr>
          <w:rFonts w:eastAsia="Calibri" w:cs="Calibri"/>
          <w:szCs w:val="20"/>
        </w:rPr>
        <w:t>Le soutien individuel et/ou collectif</w:t>
      </w:r>
    </w:p>
    <w:p w:rsidR="00A20AE9" w:rsidRPr="00CB1D52" w:rsidRDefault="00A20AE9" w:rsidP="00A20AE9">
      <w:pPr>
        <w:numPr>
          <w:ilvl w:val="0"/>
          <w:numId w:val="1"/>
        </w:numPr>
        <w:rPr>
          <w:rFonts w:eastAsia="Calibri" w:cs="Calibri"/>
          <w:szCs w:val="20"/>
        </w:rPr>
      </w:pPr>
      <w:r w:rsidRPr="00CB1D52">
        <w:rPr>
          <w:rFonts w:eastAsia="Calibri" w:cs="Calibri"/>
          <w:szCs w:val="20"/>
        </w:rPr>
        <w:t>La médiation familiale</w:t>
      </w:r>
    </w:p>
    <w:p w:rsidR="00A20AE9" w:rsidRPr="00CB1D52" w:rsidRDefault="00A20AE9" w:rsidP="00A20AE9">
      <w:pPr>
        <w:tabs>
          <w:tab w:val="left" w:pos="2385"/>
        </w:tabs>
      </w:pPr>
    </w:p>
    <w:p w:rsidR="0004162B" w:rsidRDefault="0004162B" w:rsidP="00A20AE9">
      <w:pPr>
        <w:tabs>
          <w:tab w:val="left" w:pos="3585"/>
        </w:tabs>
      </w:pPr>
    </w:p>
    <w:p w:rsidR="0004162B" w:rsidRDefault="0004162B" w:rsidP="00A20AE9">
      <w:pPr>
        <w:tabs>
          <w:tab w:val="left" w:pos="3585"/>
        </w:tabs>
      </w:pPr>
    </w:p>
    <w:p w:rsidR="0004162B" w:rsidRDefault="0004162B" w:rsidP="00A20AE9">
      <w:pPr>
        <w:tabs>
          <w:tab w:val="left" w:pos="3585"/>
        </w:tabs>
      </w:pPr>
    </w:p>
    <w:p w:rsidR="00A20AE9" w:rsidRDefault="00A20AE9">
      <w:bookmarkStart w:id="0" w:name="_GoBack"/>
      <w:bookmarkEnd w:id="0"/>
    </w:p>
    <w:sectPr w:rsidR="00A20A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23" w:rsidRDefault="00CB6A23" w:rsidP="00A20AE9">
      <w:r>
        <w:separator/>
      </w:r>
    </w:p>
  </w:endnote>
  <w:endnote w:type="continuationSeparator" w:id="0">
    <w:p w:rsidR="00CB6A23" w:rsidRDefault="00CB6A23" w:rsidP="00A2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23" w:rsidRDefault="00CB6A23" w:rsidP="00A20AE9">
      <w:r>
        <w:separator/>
      </w:r>
    </w:p>
  </w:footnote>
  <w:footnote w:type="continuationSeparator" w:id="0">
    <w:p w:rsidR="00CB6A23" w:rsidRDefault="00CB6A23" w:rsidP="00A2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31F7"/>
    <w:multiLevelType w:val="hybridMultilevel"/>
    <w:tmpl w:val="45C62746"/>
    <w:lvl w:ilvl="0" w:tplc="E74A91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E907EC"/>
    <w:multiLevelType w:val="hybridMultilevel"/>
    <w:tmpl w:val="1F2EAD34"/>
    <w:lvl w:ilvl="0" w:tplc="C15697BA">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C16D5"/>
    <w:multiLevelType w:val="hybridMultilevel"/>
    <w:tmpl w:val="64BAB35E"/>
    <w:lvl w:ilvl="0" w:tplc="9482D870">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FD2862"/>
    <w:multiLevelType w:val="hybridMultilevel"/>
    <w:tmpl w:val="B4604EC8"/>
    <w:lvl w:ilvl="0" w:tplc="9482D870">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65C50"/>
    <w:multiLevelType w:val="hybridMultilevel"/>
    <w:tmpl w:val="2BB8A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E9"/>
    <w:rsid w:val="0004162B"/>
    <w:rsid w:val="000E439E"/>
    <w:rsid w:val="00442BB1"/>
    <w:rsid w:val="008A6357"/>
    <w:rsid w:val="00A20AE9"/>
    <w:rsid w:val="00B81511"/>
    <w:rsid w:val="00CB6A23"/>
    <w:rsid w:val="00DE3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597A"/>
  <w15:chartTrackingRefBased/>
  <w15:docId w15:val="{643E83D0-13FB-42CA-A035-FD03E9DC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E9"/>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AE9"/>
    <w:pPr>
      <w:ind w:left="720"/>
      <w:contextualSpacing/>
    </w:pPr>
  </w:style>
  <w:style w:type="paragraph" w:styleId="En-tte">
    <w:name w:val="header"/>
    <w:basedOn w:val="Normal"/>
    <w:link w:val="En-tteCar"/>
    <w:uiPriority w:val="99"/>
    <w:unhideWhenUsed/>
    <w:rsid w:val="00A20AE9"/>
    <w:pPr>
      <w:tabs>
        <w:tab w:val="center" w:pos="4536"/>
        <w:tab w:val="right" w:pos="9072"/>
      </w:tabs>
    </w:pPr>
  </w:style>
  <w:style w:type="character" w:customStyle="1" w:styleId="En-tteCar">
    <w:name w:val="En-tête Car"/>
    <w:basedOn w:val="Policepardfaut"/>
    <w:link w:val="En-tte"/>
    <w:uiPriority w:val="99"/>
    <w:rsid w:val="00A20AE9"/>
  </w:style>
  <w:style w:type="paragraph" w:styleId="Pieddepage">
    <w:name w:val="footer"/>
    <w:basedOn w:val="Normal"/>
    <w:link w:val="PieddepageCar"/>
    <w:uiPriority w:val="99"/>
    <w:unhideWhenUsed/>
    <w:rsid w:val="00A20AE9"/>
    <w:pPr>
      <w:tabs>
        <w:tab w:val="center" w:pos="4536"/>
        <w:tab w:val="right" w:pos="9072"/>
      </w:tabs>
    </w:pPr>
  </w:style>
  <w:style w:type="character" w:customStyle="1" w:styleId="PieddepageCar">
    <w:name w:val="Pied de page Car"/>
    <w:basedOn w:val="Policepardfaut"/>
    <w:link w:val="Pieddepage"/>
    <w:uiPriority w:val="99"/>
    <w:rsid w:val="00A2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educateurs</dc:creator>
  <cp:keywords/>
  <dc:description/>
  <cp:lastModifiedBy>Valérie ROLIN</cp:lastModifiedBy>
  <cp:revision>2</cp:revision>
  <dcterms:created xsi:type="dcterms:W3CDTF">2019-06-07T08:35:00Z</dcterms:created>
  <dcterms:modified xsi:type="dcterms:W3CDTF">2019-06-07T08:35:00Z</dcterms:modified>
</cp:coreProperties>
</file>